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hAnsi="仿宋" w:eastAsia="方正小标宋简体" w:cs="Times New Roman"/>
          <w:color w:val="000000"/>
          <w:kern w:val="0"/>
          <w:sz w:val="44"/>
          <w:szCs w:val="44"/>
        </w:rPr>
      </w:pPr>
      <w:bookmarkStart w:id="0" w:name="_Toc8725"/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</w:rPr>
        <w:t>《</w:t>
      </w: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lang w:eastAsia="zh-CN"/>
        </w:rPr>
        <w:t>无机及分析化学</w:t>
      </w: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</w:rPr>
        <w:t>》专升本考试大纲</w:t>
      </w:r>
      <w:bookmarkEnd w:id="0"/>
    </w:p>
    <w:p>
      <w:pPr>
        <w:spacing w:line="480" w:lineRule="exact"/>
        <w:jc w:val="center"/>
        <w:rPr>
          <w:rFonts w:ascii="方正小标宋简体" w:hAnsi="仿宋" w:eastAsia="方正小标宋简体" w:cs="Times New Roman"/>
          <w:color w:val="000000"/>
          <w:kern w:val="0"/>
          <w:sz w:val="44"/>
          <w:szCs w:val="44"/>
        </w:rPr>
      </w:pPr>
    </w:p>
    <w:p>
      <w:pPr>
        <w:pStyle w:val="8"/>
        <w:shd w:val="clear" w:color="auto" w:fill="FFFFFF"/>
        <w:spacing w:before="0" w:beforeAutospacing="0" w:after="0" w:afterAutospacing="0"/>
        <w:ind w:firstLine="480"/>
        <w:jc w:val="both"/>
        <w:rPr>
          <w:rFonts w:ascii="仿宋" w:hAnsi="仿宋" w:eastAsia="仿宋" w:cs="Times New Roman"/>
          <w:color w:val="000000"/>
          <w:sz w:val="32"/>
          <w:szCs w:val="21"/>
          <w:lang w:val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21"/>
          <w:lang w:val="zh-CN"/>
        </w:rPr>
        <w:t>一、考试科目名称：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《无机及分析化学》</w:t>
      </w:r>
    </w:p>
    <w:p>
      <w:pPr>
        <w:pStyle w:val="8"/>
        <w:shd w:val="clear" w:color="auto" w:fill="FFFFFF"/>
        <w:spacing w:before="0" w:beforeAutospacing="0" w:after="0" w:afterAutospacing="0"/>
        <w:ind w:firstLine="480"/>
        <w:jc w:val="both"/>
        <w:rPr>
          <w:rFonts w:ascii="仿宋" w:hAnsi="仿宋" w:eastAsia="仿宋" w:cs="Times New Roman"/>
          <w:color w:val="000000"/>
          <w:sz w:val="32"/>
          <w:szCs w:val="21"/>
          <w:lang w:val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21"/>
          <w:lang w:val="zh-CN"/>
        </w:rPr>
        <w:t>二、考试方式：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闭卷</w:t>
      </w:r>
    </w:p>
    <w:p>
      <w:pPr>
        <w:pStyle w:val="8"/>
        <w:shd w:val="clear" w:color="auto" w:fill="FFFFFF"/>
        <w:spacing w:before="0" w:beforeAutospacing="0" w:after="0" w:afterAutospacing="0"/>
        <w:ind w:firstLine="480"/>
        <w:jc w:val="both"/>
        <w:rPr>
          <w:rFonts w:ascii="仿宋" w:hAnsi="仿宋" w:eastAsia="仿宋" w:cs="Times New Roman"/>
          <w:color w:val="000000"/>
          <w:sz w:val="32"/>
          <w:szCs w:val="21"/>
          <w:lang w:val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21"/>
          <w:lang w:val="zh-CN"/>
        </w:rPr>
        <w:t>三、考试时间：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90分钟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482"/>
        <w:jc w:val="both"/>
        <w:rPr>
          <w:rFonts w:ascii="仿宋" w:hAnsi="仿宋" w:eastAsia="仿宋" w:cs="Times New Roman"/>
          <w:color w:val="000000"/>
          <w:sz w:val="32"/>
          <w:szCs w:val="21"/>
          <w:lang w:val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21"/>
          <w:lang w:val="zh-CN"/>
        </w:rPr>
        <w:t>四、试卷结构：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总分100分，其中单项选择题</w:t>
      </w:r>
      <w:r>
        <w:rPr>
          <w:rFonts w:hint="eastAsia" w:ascii="仿宋" w:hAnsi="仿宋" w:eastAsia="仿宋" w:cs="Times New Roman"/>
          <w:color w:val="000000"/>
          <w:sz w:val="32"/>
          <w:szCs w:val="21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0分，填空题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分，判断题</w:t>
      </w:r>
      <w:r>
        <w:rPr>
          <w:rFonts w:hint="eastAsia" w:ascii="仿宋" w:hAnsi="仿宋" w:eastAsia="仿宋" w:cs="Times New Roman"/>
          <w:color w:val="000000"/>
          <w:sz w:val="32"/>
          <w:szCs w:val="21"/>
        </w:rPr>
        <w:t>10分，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简答题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en-US" w:eastAsia="zh-CN"/>
        </w:rPr>
        <w:t>25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分，计算题3</w:t>
      </w:r>
      <w:r>
        <w:rPr>
          <w:rFonts w:hint="eastAsia" w:ascii="仿宋" w:hAnsi="仿宋" w:eastAsia="仿宋" w:cs="Times New Roman"/>
          <w:color w:val="000000"/>
          <w:sz w:val="32"/>
          <w:szCs w:val="21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分。</w:t>
      </w:r>
    </w:p>
    <w:p>
      <w:pPr>
        <w:pStyle w:val="8"/>
        <w:shd w:val="clear" w:color="auto" w:fill="FFFFFF"/>
        <w:spacing w:before="0" w:beforeAutospacing="0" w:after="0" w:afterAutospacing="0"/>
        <w:ind w:firstLine="480"/>
        <w:jc w:val="both"/>
        <w:rPr>
          <w:rFonts w:ascii="黑体" w:hAnsi="黑体" w:eastAsia="黑体" w:cs="Times New Roman"/>
          <w:color w:val="000000"/>
          <w:kern w:val="2"/>
          <w:sz w:val="32"/>
          <w:szCs w:val="21"/>
          <w:lang w:val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21"/>
          <w:lang w:val="zh-CN"/>
        </w:rPr>
        <w:t>五、考试的基本要求</w:t>
      </w:r>
      <w:bookmarkStart w:id="1" w:name="_GoBack"/>
      <w:bookmarkEnd w:id="1"/>
    </w:p>
    <w:p>
      <w:pPr>
        <w:widowControl/>
        <w:spacing w:line="440" w:lineRule="atLeast"/>
        <w:ind w:firstLine="640" w:firstLineChars="200"/>
        <w:jc w:val="left"/>
        <w:rPr>
          <w:rFonts w:hint="default" w:ascii="黑体" w:hAnsi="黑体" w:eastAsia="仿宋" w:cs="Times New Roman"/>
          <w:b/>
          <w:bCs/>
          <w:color w:val="FF0000"/>
          <w:sz w:val="32"/>
          <w:szCs w:val="21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21"/>
          <w:lang w:val="zh-CN"/>
        </w:rPr>
        <w:t>《无机及分析化学》课程主要考核考生对该课程领域涉及的有关术语、基本概念、基本知识、基本技能和基本方法的了解、理解以及掌握程度，并能够应用相应理论知识解释无机及分析化学中的一些现象和事实，具备较强的分析问题和解决问题的能力。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480"/>
        <w:jc w:val="both"/>
        <w:rPr>
          <w:rFonts w:ascii="黑体" w:hAnsi="黑体" w:eastAsia="黑体" w:cs="Times New Roman"/>
          <w:color w:val="000000"/>
          <w:kern w:val="2"/>
          <w:sz w:val="32"/>
          <w:szCs w:val="21"/>
          <w:lang w:val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21"/>
          <w:lang w:val="zh-CN"/>
        </w:rPr>
        <w:t>六、考试范围</w:t>
      </w:r>
    </w:p>
    <w:p>
      <w:pPr>
        <w:autoSpaceDE w:val="0"/>
        <w:autoSpaceDN w:val="0"/>
        <w:adjustRightInd w:val="0"/>
        <w:spacing w:line="440" w:lineRule="atLeast"/>
        <w:ind w:firstLine="643" w:firstLineChars="200"/>
        <w:rPr>
          <w:rFonts w:ascii="楷体_GB2312" w:hAnsi="仿宋" w:eastAsia="楷体_GB2312" w:cs="Times New Roman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zh-CN"/>
        </w:rPr>
        <w:t>第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en-US" w:eastAsia="zh-CN"/>
        </w:rPr>
        <w:t>1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zh-CN"/>
        </w:rPr>
        <w:t>章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 xml:space="preserve"> 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zh-CN"/>
        </w:rPr>
        <w:t>气体和溶液</w:t>
      </w:r>
    </w:p>
    <w:p>
      <w:pPr>
        <w:widowControl/>
        <w:spacing w:line="440" w:lineRule="atLeast"/>
        <w:ind w:firstLine="640" w:firstLineChars="200"/>
        <w:rPr>
          <w:rFonts w:ascii="仿宋" w:hAnsi="仿宋" w:eastAsia="仿宋" w:cs="Times New Roman"/>
          <w:color w:val="000000"/>
          <w:sz w:val="32"/>
          <w:szCs w:val="21"/>
          <w:lang w:val="zh-CN"/>
        </w:rPr>
      </w:pPr>
      <w:r>
        <w:rPr>
          <w:rFonts w:hint="eastAsia" w:ascii="仿宋" w:hAnsi="仿宋" w:eastAsia="仿宋" w:cs="Times New Roman"/>
          <w:color w:val="000000"/>
          <w:sz w:val="32"/>
          <w:szCs w:val="21"/>
        </w:rPr>
        <w:t>了解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eastAsia="zh-CN"/>
        </w:rPr>
        <w:t>分散系的概念和分类</w:t>
      </w:r>
      <w:r>
        <w:rPr>
          <w:rFonts w:hint="eastAsia" w:ascii="仿宋" w:hAnsi="仿宋" w:eastAsia="仿宋" w:cs="Times New Roman"/>
          <w:color w:val="000000"/>
          <w:sz w:val="32"/>
          <w:szCs w:val="21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eastAsia="zh-CN"/>
        </w:rPr>
        <w:t>高分子溶液和乳浊液的概念；理解非电解质稀溶液的依数性（蒸气压下降、沸点升高、凝固点下降、渗透压）及其在实际中的应用</w:t>
      </w:r>
      <w:r>
        <w:rPr>
          <w:rFonts w:hint="eastAsia" w:ascii="仿宋" w:hAnsi="仿宋" w:eastAsia="仿宋" w:cs="Times New Roman"/>
          <w:color w:val="000000"/>
          <w:sz w:val="32"/>
          <w:szCs w:val="21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21"/>
          <w:lang w:eastAsia="zh-CN"/>
        </w:rPr>
        <w:t>掌握溶液浓度的表示方法及其计算</w:t>
      </w:r>
      <w:r>
        <w:rPr>
          <w:rFonts w:hint="eastAsia" w:ascii="仿宋" w:hAnsi="仿宋" w:eastAsia="仿宋" w:cs="Times New Roman"/>
          <w:color w:val="000000"/>
          <w:sz w:val="32"/>
          <w:szCs w:val="21"/>
        </w:rPr>
        <w:t>。</w:t>
      </w:r>
    </w:p>
    <w:p>
      <w:pPr>
        <w:autoSpaceDE w:val="0"/>
        <w:autoSpaceDN w:val="0"/>
        <w:adjustRightInd w:val="0"/>
        <w:spacing w:line="440" w:lineRule="atLeast"/>
        <w:ind w:firstLine="643" w:firstLineChars="200"/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</w:pP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zh-CN"/>
        </w:rPr>
        <w:t>第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en-US" w:eastAsia="zh-CN"/>
        </w:rPr>
        <w:t>2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 xml:space="preserve">章 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  <w:t>化学热力学基础和化学平衡</w:t>
      </w:r>
    </w:p>
    <w:p>
      <w:pPr>
        <w:spacing w:line="440" w:lineRule="atLeas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理解热力学和热化学的基本概念，化学反应方向的判据及应用，化学平衡的定义、特征及移动规律。了解多重平衡规则。</w:t>
      </w:r>
    </w:p>
    <w:p>
      <w:pPr>
        <w:spacing w:line="440" w:lineRule="atLeas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掌握热力学第一定律，反应焓变，热化学方程式，盖斯定律的应用。</w:t>
      </w:r>
    </w:p>
    <w:p>
      <w:pPr>
        <w:autoSpaceDE w:val="0"/>
        <w:autoSpaceDN w:val="0"/>
        <w:adjustRightInd w:val="0"/>
        <w:spacing w:line="440" w:lineRule="atLeast"/>
        <w:ind w:firstLine="643" w:firstLineChars="200"/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</w:pP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zh-CN"/>
        </w:rPr>
        <w:t>第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en-US" w:eastAsia="zh-CN"/>
        </w:rPr>
        <w:t>3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 xml:space="preserve">章 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  <w:t>化学反应速率</w:t>
      </w:r>
    </w:p>
    <w:p>
      <w:pPr>
        <w:spacing w:line="440" w:lineRule="atLeas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了解化学反应速率的表示方法，平均速率。理解化学反应速率的碰撞理论和过渡状态理论，活化能的概念，温度、浓度、催化剂对反应速率的影响。掌握初始速率法确定化学反应速率方程式的方法。</w:t>
      </w:r>
    </w:p>
    <w:p>
      <w:pPr>
        <w:autoSpaceDE w:val="0"/>
        <w:autoSpaceDN w:val="0"/>
        <w:adjustRightInd w:val="0"/>
        <w:spacing w:line="440" w:lineRule="atLeast"/>
        <w:ind w:firstLine="643" w:firstLineChars="200"/>
        <w:rPr>
          <w:rFonts w:ascii="楷体_GB2312" w:hAnsi="仿宋" w:eastAsia="楷体_GB2312" w:cs="Times New Roman"/>
          <w:b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>第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en-US" w:eastAsia="zh-CN"/>
        </w:rPr>
        <w:t>6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 xml:space="preserve">章 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en-US" w:eastAsia="zh-CN"/>
        </w:rPr>
        <w:t>分析化学概述</w:t>
      </w:r>
    </w:p>
    <w:p>
      <w:pPr>
        <w:autoSpaceDE w:val="0"/>
        <w:autoSpaceDN w:val="0"/>
        <w:adjustRightInd w:val="0"/>
        <w:spacing w:line="440" w:lineRule="atLeas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了解定量分析的一般程序，分析化学中误差产生的原因及其减免方法；理解系统误差和随机误差的特点，标准溶液、基准物质等基本概念，滴定分析对反应基本要求，滴定方式；掌握准确度与误差、精密度与偏差的基本概念及其关系，有效数字的概念，修约规则及运算规则。</w:t>
      </w:r>
    </w:p>
    <w:p>
      <w:pPr>
        <w:autoSpaceDE w:val="0"/>
        <w:autoSpaceDN w:val="0"/>
        <w:adjustRightInd w:val="0"/>
        <w:spacing w:line="440" w:lineRule="atLeast"/>
        <w:ind w:firstLine="643" w:firstLineChars="200"/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</w:pP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>第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en-US" w:eastAsia="zh-CN"/>
        </w:rPr>
        <w:t>7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 xml:space="preserve">章 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  <w:t>酸碱平衡与酸碱滴定法</w:t>
      </w:r>
    </w:p>
    <w:p>
      <w:pPr>
        <w:spacing w:line="440" w:lineRule="atLeast"/>
        <w:ind w:firstLine="640" w:firstLineChars="200"/>
        <w:rPr>
          <w:rFonts w:hint="default" w:ascii="仿宋" w:hAnsi="仿宋" w:eastAsia="仿宋" w:cs="Times New Roman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/>
        </w:rPr>
        <w:t>了解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 w:eastAsia="zh-CN"/>
        </w:rPr>
        <w:t>酸碱质子理论、酸碱平衡等基本概念、酸碱滴定法的应用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/>
        </w:rPr>
        <w:t>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 w:eastAsia="zh-CN"/>
        </w:rPr>
        <w:t>理解缓冲溶液、滴定曲线、滴定突跃、滴定终点、滴定误差等基本概念，掌握质子条件式与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en-US" w:eastAsia="zh-CN"/>
        </w:rPr>
        <w:t>pH值的计算、常用指示剂的变色范围及其作用原理、酸碱标准溶液的配制和标定方法、</w:t>
      </w:r>
    </w:p>
    <w:p>
      <w:pPr>
        <w:autoSpaceDE w:val="0"/>
        <w:autoSpaceDN w:val="0"/>
        <w:adjustRightInd w:val="0"/>
        <w:spacing w:line="440" w:lineRule="atLeast"/>
        <w:ind w:firstLine="643" w:firstLineChars="200"/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</w:pP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>第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en-US" w:eastAsia="zh-CN"/>
        </w:rPr>
        <w:t>8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 xml:space="preserve">章 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  <w:t>沉淀溶解平衡</w:t>
      </w:r>
    </w:p>
    <w:p>
      <w:pPr>
        <w:spacing w:line="440" w:lineRule="atLeas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了解沉淀滴定法在分析化学中的应用；理解沉淀滴定法的基本原理、终点的确定方法和滴定条件的选择；掌握溶度积的概念、溶度积规则及有关计算，沉淀生成、沉淀溶解、分步沉淀的计算。</w:t>
      </w:r>
    </w:p>
    <w:p>
      <w:pPr>
        <w:autoSpaceDE w:val="0"/>
        <w:autoSpaceDN w:val="0"/>
        <w:adjustRightInd w:val="0"/>
        <w:spacing w:line="440" w:lineRule="atLeast"/>
        <w:ind w:firstLine="643" w:firstLineChars="200"/>
        <w:rPr>
          <w:rFonts w:ascii="楷体_GB2312" w:hAnsi="仿宋" w:eastAsia="楷体_GB2312" w:cs="Times New Roman"/>
          <w:b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>第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en-US" w:eastAsia="zh-CN"/>
        </w:rPr>
        <w:t>9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 xml:space="preserve">章 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  <w:t>配位化合物与配位滴定法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ab/>
      </w:r>
    </w:p>
    <w:p>
      <w:pPr>
        <w:spacing w:line="440" w:lineRule="atLeas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 w:eastAsia="zh-TW"/>
        </w:rPr>
        <w:t>了解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 w:eastAsia="zh-CN"/>
        </w:rPr>
        <w:t>配位化合物的稳定常数及其计算，配位平衡的移动及其影响因素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/>
        </w:rPr>
        <w:t>；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 w:eastAsia="zh-TW"/>
        </w:rPr>
        <w:t>理解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 w:eastAsia="zh-CN"/>
        </w:rPr>
        <w:t>金属指示剂的概念及应具备的条件，常用金属指示剂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/>
        </w:rPr>
        <w:t>；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 w:eastAsia="zh-CN"/>
        </w:rPr>
        <w:t>掌握配位化合物的定义、组成和命名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TW"/>
        </w:rPr>
        <w:t>。</w:t>
      </w:r>
    </w:p>
    <w:p>
      <w:pPr>
        <w:autoSpaceDE w:val="0"/>
        <w:autoSpaceDN w:val="0"/>
        <w:adjustRightInd w:val="0"/>
        <w:spacing w:line="440" w:lineRule="atLeast"/>
        <w:ind w:firstLine="643" w:firstLineChars="200"/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</w:pP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>第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val="en-US" w:eastAsia="zh-CN"/>
        </w:rPr>
        <w:t>10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</w:rPr>
        <w:t xml:space="preserve">章 </w:t>
      </w:r>
      <w:r>
        <w:rPr>
          <w:rFonts w:hint="eastAsia" w:ascii="楷体_GB2312" w:hAnsi="仿宋" w:eastAsia="楷体_GB2312" w:cs="Times New Roman"/>
          <w:b/>
          <w:color w:val="000000"/>
          <w:kern w:val="0"/>
          <w:sz w:val="32"/>
          <w:szCs w:val="21"/>
          <w:lang w:eastAsia="zh-CN"/>
        </w:rPr>
        <w:t>氧化还原平衡与氧化还原滴定法</w:t>
      </w:r>
    </w:p>
    <w:p>
      <w:pPr>
        <w:spacing w:line="440" w:lineRule="atLeast"/>
        <w:ind w:firstLine="640" w:firstLineChars="200"/>
        <w:rPr>
          <w:rFonts w:hint="default" w:ascii="仿宋" w:hAnsi="仿宋" w:eastAsia="仿宋" w:cs="Times New Roman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en-US" w:eastAsia="zh-CN"/>
        </w:rPr>
        <w:t>了解氧化还原滴定法的基本原理，氧化还原滴定曲线及指示剂的作用原理；理解电极电势的概念、影响因素及应用，高锰酸钾法、重铬酸钾法及碘量法的原理和滴定条件；掌握氧化还原反应的本质及氧化还原方程式的配平方法，能斯特方程计算非标准状态下的电极电势。</w:t>
      </w:r>
    </w:p>
    <w:p/>
    <w:p/>
    <w:p/>
    <w:p/>
    <w:p/>
    <w:p>
      <w:pPr>
        <w:pStyle w:val="8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420" w:firstLineChars="19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jRiOWRiY2ZjNjA1OGM5OGQ5YWE4ZjJhN2E0MWEifQ=="/>
  </w:docVars>
  <w:rsids>
    <w:rsidRoot w:val="14567657"/>
    <w:rsid w:val="000E1CD4"/>
    <w:rsid w:val="00115985"/>
    <w:rsid w:val="0023424C"/>
    <w:rsid w:val="00293543"/>
    <w:rsid w:val="00381976"/>
    <w:rsid w:val="00417094"/>
    <w:rsid w:val="00427B10"/>
    <w:rsid w:val="0049518E"/>
    <w:rsid w:val="006B042C"/>
    <w:rsid w:val="008460BD"/>
    <w:rsid w:val="00937380"/>
    <w:rsid w:val="009967B0"/>
    <w:rsid w:val="00A07C22"/>
    <w:rsid w:val="00A84405"/>
    <w:rsid w:val="00D82D79"/>
    <w:rsid w:val="00ED4269"/>
    <w:rsid w:val="00EE58DB"/>
    <w:rsid w:val="00F278E2"/>
    <w:rsid w:val="00F46DC6"/>
    <w:rsid w:val="00FC2932"/>
    <w:rsid w:val="00FD3655"/>
    <w:rsid w:val="00FE07D2"/>
    <w:rsid w:val="0FAC57AE"/>
    <w:rsid w:val="101C34E0"/>
    <w:rsid w:val="109E6EF4"/>
    <w:rsid w:val="14567657"/>
    <w:rsid w:val="148374E3"/>
    <w:rsid w:val="16063593"/>
    <w:rsid w:val="1CD0642D"/>
    <w:rsid w:val="1D8F1E47"/>
    <w:rsid w:val="1EE80A2F"/>
    <w:rsid w:val="1FEE1D1C"/>
    <w:rsid w:val="24AE7FDE"/>
    <w:rsid w:val="268C25E3"/>
    <w:rsid w:val="2895320A"/>
    <w:rsid w:val="2A0A352A"/>
    <w:rsid w:val="30076380"/>
    <w:rsid w:val="33F740F0"/>
    <w:rsid w:val="35115FE2"/>
    <w:rsid w:val="358A766C"/>
    <w:rsid w:val="4D374242"/>
    <w:rsid w:val="57687012"/>
    <w:rsid w:val="591B7FEB"/>
    <w:rsid w:val="601564E6"/>
    <w:rsid w:val="65655809"/>
    <w:rsid w:val="66430887"/>
    <w:rsid w:val="6F1C266A"/>
    <w:rsid w:val="72154D9E"/>
    <w:rsid w:val="74A76689"/>
    <w:rsid w:val="79AE1AEF"/>
    <w:rsid w:val="7B0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rFonts w:eastAsia="微软雅黑" w:asciiTheme="minorHAnsi" w:hAnsiTheme="minorHAnsi" w:cstheme="minorBidi"/>
      <w:b/>
      <w:bCs/>
      <w:lang w:val="en-US" w:eastAsia="zh-CN" w:bidi="ar-SA"/>
    </w:rPr>
  </w:style>
  <w:style w:type="character" w:styleId="13">
    <w:name w:val="Hyperlink"/>
    <w:basedOn w:val="11"/>
    <w:unhideWhenUsed/>
    <w:qFormat/>
    <w:uiPriority w:val="99"/>
    <w:rPr>
      <w:rFonts w:eastAsia="微软雅黑" w:asciiTheme="minorHAnsi" w:hAnsiTheme="minorHAnsi" w:cstheme="minorBidi"/>
      <w:color w:val="0000FF"/>
      <w:u w:val="single"/>
      <w:lang w:val="en-US" w:eastAsia="zh-CN" w:bidi="ar-SA"/>
    </w:rPr>
  </w:style>
  <w:style w:type="character" w:customStyle="1" w:styleId="14">
    <w:name w:val="apple-converted-space"/>
    <w:basedOn w:val="11"/>
    <w:qFormat/>
    <w:uiPriority w:val="0"/>
    <w:rPr>
      <w:rFonts w:eastAsia="微软雅黑" w:asciiTheme="minorHAnsi" w:hAnsiTheme="minorHAnsi" w:cstheme="minorBidi"/>
      <w:lang w:val="en-US" w:eastAsia="zh-CN" w:bidi="ar-SA"/>
    </w:rPr>
  </w:style>
  <w:style w:type="character" w:customStyle="1" w:styleId="15">
    <w:name w:val="批注框文本 Char"/>
    <w:basedOn w:val="11"/>
    <w:link w:val="3"/>
    <w:qFormat/>
    <w:uiPriority w:val="0"/>
    <w:rPr>
      <w:rFonts w:eastAsia="微软雅黑" w:asciiTheme="minorHAnsi" w:hAnsiTheme="minorHAnsi" w:cstheme="minorBidi"/>
      <w:sz w:val="18"/>
      <w:szCs w:val="18"/>
      <w:lang w:val="en-US" w:eastAsia="zh-CN" w:bidi="ar-SA"/>
    </w:rPr>
  </w:style>
  <w:style w:type="character" w:customStyle="1" w:styleId="16">
    <w:name w:val="页眉 Char"/>
    <w:basedOn w:val="11"/>
    <w:link w:val="5"/>
    <w:qFormat/>
    <w:uiPriority w:val="0"/>
    <w:rPr>
      <w:rFonts w:eastAsia="微软雅黑" w:asciiTheme="minorHAnsi" w:hAnsiTheme="minorHAnsi" w:cstheme="minorBidi"/>
      <w:sz w:val="18"/>
      <w:szCs w:val="18"/>
      <w:lang w:val="en-US" w:eastAsia="zh-CN" w:bidi="ar-SA"/>
    </w:rPr>
  </w:style>
  <w:style w:type="character" w:customStyle="1" w:styleId="17">
    <w:name w:val="HTML 预设格式 Char"/>
    <w:basedOn w:val="11"/>
    <w:link w:val="7"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1089</Characters>
  <Lines>85</Lines>
  <Paragraphs>24</Paragraphs>
  <TotalTime>1</TotalTime>
  <ScaleCrop>false</ScaleCrop>
  <LinksUpToDate>false</LinksUpToDate>
  <CharactersWithSpaces>1124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2020-06-18T08:06:00Z</dcterms:created>
  <dc:creator>Administrator</dc:creator>
  <cp:lastModifiedBy>Ming</cp:lastModifiedBy>
  <cp:lastPrinted>2020-06-19T14:19:00Z</cp:lastPrinted>
  <dcterms:modified xsi:type="dcterms:W3CDTF">2023-03-10T10:10:13Z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A4FD3F804E8A4A6EAC80D095A6CC663E</vt:lpwstr>
  </property>
</Properties>
</file>