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2B73BF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B73BF"/>
          <w:spacing w:val="0"/>
          <w:sz w:val="30"/>
          <w:szCs w:val="30"/>
          <w:bdr w:val="none" w:color="auto" w:sz="0" w:space="0"/>
        </w:rPr>
        <w:t>申请合档办理毕业说明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1.考生通过浏览器访问辽宁省高等教育自学考试网上服务平台后，点击自考查询入口中的“申请合档毕业”链接进行申请。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4924425" cy="2962275"/>
            <wp:effectExtent l="0" t="0" r="9525" b="9525"/>
            <wp:docPr id="2" name="图片 1" descr="2022-11-23_0730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022-11-23_073007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2. 阅读完考生必读后点击“确认”按钮进入登录页面。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591175" cy="2886075"/>
            <wp:effectExtent l="0" t="0" r="9525" b="9525"/>
            <wp:docPr id="5" name="图片 2" descr="2022-11-23_075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2022-11-23_075010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3.考生输入要办理毕业的准考证号、密码、验证码后登录系统。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438775" cy="2733675"/>
            <wp:effectExtent l="0" t="0" r="9525" b="9525"/>
            <wp:docPr id="4" name="图片 3" descr="2022-11-23_0760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2022-11-23_076058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4.选择要申请毕业的专业，然后选择考生其他准考证号下的成绩，点击合档按钮提交合档申请。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419725" cy="2476500"/>
            <wp:effectExtent l="0" t="0" r="9525" b="0"/>
            <wp:docPr id="1" name="图片 4" descr="2022-11-23_0096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2022-11-23_009697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5.合档申请记录显示考生申请的合档记录情况，并可查看当前的合档审核状态。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drawing>
          <wp:inline distT="0" distB="0" distL="114300" distR="114300">
            <wp:extent cx="5381625" cy="2971800"/>
            <wp:effectExtent l="0" t="0" r="9525" b="0"/>
            <wp:docPr id="3" name="图片 5" descr="2022-11-23_0981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2022-11-23_098160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6.合档申请审核通过后再进行毕业申请。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color w:val="333333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kZTk1MTMyNzgwNmFiNzRhZTg5NDhjNmQ4NDdmZGEifQ=="/>
  </w:docVars>
  <w:rsids>
    <w:rsidRoot w:val="214F1290"/>
    <w:rsid w:val="214F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2022-11-29T11:41:00Z</dcterms:created>
  <dc:creator>洲冲</dc:creator>
  <cp:lastModifiedBy>洲冲</cp:lastModifiedBy>
  <dcterms:modified xsi:type="dcterms:W3CDTF">2022-11-29T11:42:46Z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DED1FC9BDDAE483DB14FF85A7554AA99</vt:lpwstr>
  </property>
</Properties>
</file>