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</w:rPr>
        <w:t>五、简答题：本大题共5小题，每小题4分，共20分。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1、教师职业复杂性体现在哪些方面？（2024年4月自考09277教师职业道德与专业发展考前密训班一章节考点4）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2、教师职业纪律的意义和作用。（2024年4月自考09277教师职业道德与专业发展考前密训班四章节考点3）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3、俞国良关于心理健康的标准（2024年4月自考09277教师职业道德与专业发展考前密训班六章节考点4）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4、教师职业作风的具体体现（2024年4月自考09277教师职业道德与专业发展考前密训班五章节考点2）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5、教育教学能力素养的内容（2024年4月自考09277教师职业道德与专业发展考前密训班八章节考点2）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五、论述题：本大题共2小题，每小题8分，共16分。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1、国家在保障教师专业化方面有哪些措施？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建议答案：国家对教师专业化的促进与保障：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（1）加强教师教育。建立一体化和开放式的教师教育体系。要改革教师教育课程。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（2）制定法律法规。1993年国家颁布教师法，1995年国家颁布《教师资格条例》。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（3）提供经济保障。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2、真实性原则及具体要求（2024年4月自考09277教师职业道德与专业发展考前密训班九章节考点11）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六、案例分析题：本题12分。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我喜欢的人还是你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OTRkMjAxNzJjY2VlNDY3OTgwYjkxMTRiMzQ1MGYifQ=="/>
  </w:docVars>
  <w:rsids>
    <w:rsidRoot w:val="00000000"/>
    <w:rsid w:val="537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2024-04-16T07:55:28Z</dcterms:created>
  <dc:creator>admin</dc:creator>
  <cp:lastModifiedBy>WPS_1695120096</cp:lastModifiedBy>
  <dcterms:modified xsi:type="dcterms:W3CDTF">2024-04-16T08:12:35Z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614E74D846174B3A9FF551DD54F7401A_12</vt:lpwstr>
  </property>
</Properties>
</file>